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2018年度新疆喀什地区英吉沙县畜牧兽医局部门决算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1、畜牧生产及动物防疫，畜牧行政执法对全县范围内畜牧活体检疫及产品检疫和县境外购进活体及肉品的检疫。</w:t>
      </w:r>
      <w:r>
        <w:rPr>
          <w:rFonts w:hint="eastAsia" w:ascii="仿宋_GB2312" w:eastAsia="仿宋_GB2312"/>
          <w:sz w:val="32"/>
          <w:szCs w:val="32"/>
        </w:rPr>
        <w:br w:type="textWrapping"/>
      </w:r>
      <w:r>
        <w:rPr>
          <w:rFonts w:hint="eastAsia" w:ascii="仿宋_GB2312" w:eastAsia="仿宋_GB2312"/>
          <w:sz w:val="32"/>
          <w:szCs w:val="32"/>
        </w:rPr>
        <w:t xml:space="preserve">    2、草业基础建设，对县域境内的天然草地和人工草地进行全年检测、预警和防治。</w:t>
      </w:r>
      <w:r>
        <w:rPr>
          <w:rFonts w:hint="eastAsia" w:ascii="仿宋_GB2312" w:eastAsia="仿宋_GB2312"/>
          <w:sz w:val="32"/>
          <w:szCs w:val="32"/>
        </w:rPr>
        <w:br w:type="textWrapping"/>
      </w:r>
      <w:r>
        <w:rPr>
          <w:rFonts w:hint="eastAsia" w:ascii="仿宋_GB2312" w:eastAsia="仿宋_GB2312"/>
          <w:sz w:val="32"/>
          <w:szCs w:val="32"/>
        </w:rPr>
        <w:t xml:space="preserve">    3、整合国家财政、农业、科技、畜牧、扶贫等多方面项目，积极引导农牧民创建合作社，扩大养殖规模，有效加快了农牧民畜牧增产增收。</w:t>
      </w:r>
      <w:r>
        <w:rPr>
          <w:rFonts w:hint="eastAsia" w:ascii="仿宋_GB2312" w:eastAsia="仿宋_GB2312"/>
          <w:sz w:val="32"/>
          <w:szCs w:val="32"/>
        </w:rPr>
        <w:br w:type="textWrapping"/>
      </w:r>
      <w:r>
        <w:rPr>
          <w:rFonts w:hint="eastAsia" w:ascii="仿宋_GB2312" w:eastAsia="仿宋_GB2312"/>
          <w:sz w:val="32"/>
          <w:szCs w:val="32"/>
        </w:rPr>
        <w:t xml:space="preserve">    4、承办县委、县人民政府交办的其他事项。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新疆喀什地区英吉沙县畜牧兽医局</w:t>
      </w:r>
      <w:r>
        <w:rPr>
          <w:rFonts w:hint="eastAsia" w:ascii="仿宋_GB2312" w:eastAsia="仿宋_GB2312"/>
          <w:sz w:val="32"/>
          <w:szCs w:val="32"/>
        </w:rPr>
        <w:t>部门决算包括：</w:t>
      </w:r>
      <w:r>
        <w:rPr>
          <w:rFonts w:ascii="仿宋_GB2312" w:eastAsia="仿宋_GB2312"/>
          <w:sz w:val="32"/>
          <w:szCs w:val="32"/>
        </w:rPr>
        <w:t>新疆喀什地区英吉沙县畜牧兽医局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新疆喀什地区英吉沙县畜牧兽医局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新疆喀什地区英吉沙县畜牧兽医局</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7608.19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，与上年相比，增加6070.79万元，增长394.87%，增加的主要原因是：</w:t>
      </w:r>
      <w:r>
        <w:rPr>
          <w:rFonts w:hint="eastAsia" w:ascii="仿宋_GB2312" w:eastAsia="仿宋_GB2312"/>
          <w:color w:val="000000" w:themeColor="text1"/>
          <w:sz w:val="32"/>
          <w:szCs w:val="32"/>
        </w:rPr>
        <w:t>增加了项目，包括扶贫项目，专项项目以及其他小型项目，导致收入比上年增加；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7663.31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，与上年相比，增加4581.04万元，增长148.63%，增加的主要原因是：</w:t>
      </w:r>
      <w:r>
        <w:rPr>
          <w:rFonts w:hint="eastAsia" w:ascii="仿宋_GB2312" w:eastAsia="仿宋_GB2312"/>
          <w:color w:val="000000" w:themeColor="text1"/>
          <w:sz w:val="32"/>
          <w:szCs w:val="32"/>
        </w:rPr>
        <w:t>增加了项目，包括扶贫项目，专项项目以及其他小型项目，导致支出比上年增加；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，与上年相比，减少55.12万元，下降100%，增减变化的主要原因是：</w:t>
      </w:r>
      <w:r>
        <w:rPr>
          <w:rFonts w:ascii="仿宋_GB2312" w:eastAsia="仿宋_GB2312"/>
          <w:color w:val="000000" w:themeColor="text1"/>
          <w:sz w:val="32"/>
          <w:szCs w:val="32"/>
        </w:rPr>
        <w:t>畜牧局按照要求，科学规范了资金使用流程，提高了资金使用效率，有效避免2018年资金结余的问题。</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7608.19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6620.37</w:t>
      </w:r>
      <w:r>
        <w:rPr>
          <w:rFonts w:hint="eastAsia" w:ascii="仿宋_GB2312" w:eastAsia="仿宋_GB2312"/>
          <w:color w:val="000000" w:themeColor="text1"/>
          <w:sz w:val="32"/>
          <w:szCs w:val="32"/>
        </w:rPr>
        <w:t>万元，占</w:t>
      </w:r>
      <w:r>
        <w:rPr>
          <w:rFonts w:hint="eastAsia" w:ascii="仿宋_GB2312" w:eastAsia="仿宋_GB2312"/>
          <w:sz w:val="32"/>
          <w:szCs w:val="32"/>
        </w:rPr>
        <w:t>87.02%</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987.82</w:t>
      </w:r>
      <w:r>
        <w:rPr>
          <w:rFonts w:hint="eastAsia" w:ascii="仿宋_GB2312" w:eastAsia="仿宋_GB2312"/>
          <w:color w:val="000000" w:themeColor="text1"/>
          <w:sz w:val="32"/>
          <w:szCs w:val="32"/>
        </w:rPr>
        <w:t>万元，占</w:t>
      </w:r>
      <w:r>
        <w:rPr>
          <w:rFonts w:hint="eastAsia" w:ascii="仿宋_GB2312" w:eastAsia="仿宋_GB2312"/>
          <w:sz w:val="32"/>
          <w:szCs w:val="32"/>
        </w:rPr>
        <w:t>12.98%</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况：本年收入年初预算数411.82万元</w:t>
      </w:r>
      <w:r>
        <w:rPr>
          <w:rFonts w:hint="eastAsia" w:ascii="仿宋_GB2312" w:eastAsia="仿宋_GB2312"/>
          <w:sz w:val="32"/>
          <w:szCs w:val="32"/>
        </w:rPr>
        <w:t>，决算数7608.19万元</w:t>
      </w:r>
      <w:r>
        <w:rPr>
          <w:rFonts w:ascii="仿宋_GB2312" w:eastAsia="仿宋_GB2312"/>
          <w:sz w:val="32"/>
          <w:szCs w:val="32"/>
        </w:rPr>
        <w:t>，预决算差异率1747.46%，差异主要原因是畜牧局负责的项目增加，根据“资金跟着项目走”的原则，相应的资金也会随之增加，导致存在差异。</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7663.31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444.91</w:t>
      </w:r>
      <w:r>
        <w:rPr>
          <w:rFonts w:hint="eastAsia" w:ascii="仿宋_GB2312" w:eastAsia="仿宋_GB2312"/>
          <w:color w:val="000000" w:themeColor="text1"/>
          <w:sz w:val="32"/>
          <w:szCs w:val="32"/>
        </w:rPr>
        <w:t>万元，占</w:t>
      </w:r>
      <w:r>
        <w:rPr>
          <w:rFonts w:hint="eastAsia" w:ascii="仿宋_GB2312" w:eastAsia="仿宋_GB2312"/>
          <w:sz w:val="32"/>
          <w:szCs w:val="32"/>
        </w:rPr>
        <w:t>5.81%</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7218.41</w:t>
      </w:r>
      <w:r>
        <w:rPr>
          <w:rFonts w:hint="eastAsia" w:ascii="仿宋_GB2312" w:eastAsia="仿宋_GB2312"/>
          <w:color w:val="000000" w:themeColor="text1"/>
          <w:sz w:val="32"/>
          <w:szCs w:val="32"/>
        </w:rPr>
        <w:t>万元，占</w:t>
      </w:r>
      <w:r>
        <w:rPr>
          <w:rFonts w:hint="eastAsia" w:ascii="仿宋_GB2312" w:eastAsia="仿宋_GB2312"/>
          <w:sz w:val="32"/>
          <w:szCs w:val="32"/>
        </w:rPr>
        <w:t>94.19%</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与年初预算数相比情况：本年支出年初预算数411.82万元，</w:t>
      </w:r>
      <w:r>
        <w:rPr>
          <w:rFonts w:hint="eastAsia" w:ascii="仿宋_GB2312" w:eastAsia="仿宋_GB2312"/>
          <w:sz w:val="32"/>
          <w:szCs w:val="32"/>
        </w:rPr>
        <w:t>决算数7663.31万元</w:t>
      </w:r>
      <w:r>
        <w:rPr>
          <w:rFonts w:ascii="仿宋_GB2312" w:eastAsia="仿宋_GB2312"/>
          <w:sz w:val="32"/>
          <w:szCs w:val="32"/>
        </w:rPr>
        <w:t>，预决算差异率1760.84%，差异主要原因是畜牧局负责的项目增加，随着项目的实施，相应的资金也会支出，导致存在差异。</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6620.37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，与上年相比，增加5082.97万元，增长330.62%，增减变化的主要原因是：增加了项目，包括扶贫项目，专项项目以及其他小型项目，导致收入比上年增加。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6675.49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，与上年相比，增加3593.22万元，增长116.58%，增减变化的主要原因是：</w:t>
      </w:r>
      <w:r>
        <w:rPr>
          <w:rFonts w:ascii="仿宋_GB2312" w:eastAsia="仿宋_GB2312"/>
          <w:sz w:val="32"/>
          <w:szCs w:val="32"/>
        </w:rPr>
        <w:t>增加了项目，包括扶贫项目，专项项目以及其他小型项目，导致收入比上年增加。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290.24</w:t>
      </w:r>
      <w:r>
        <w:rPr>
          <w:rFonts w:hint="eastAsia" w:ascii="仿宋_GB2312" w:eastAsia="仿宋_GB2312"/>
          <w:color w:val="000000" w:themeColor="text1"/>
          <w:sz w:val="32"/>
          <w:szCs w:val="32"/>
        </w:rPr>
        <w:t>万元，项目支出</w:t>
      </w:r>
      <w:r>
        <w:rPr>
          <w:rFonts w:hint="eastAsia" w:ascii="仿宋_GB2312" w:eastAsia="仿宋_GB2312"/>
          <w:sz w:val="32"/>
          <w:szCs w:val="32"/>
        </w:rPr>
        <w:t>6385.26</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，与上年相比，减少55.12万元，下降100%，增减变化的主要原因是：畜牧局按照要求，科学规范了资金使用流程，提高了资金使用效率，有效避免2018年资金结余的问题。</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411.82</w:t>
      </w:r>
      <w:r>
        <w:rPr>
          <w:rFonts w:hint="eastAsia" w:ascii="仿宋_GB2312" w:eastAsia="仿宋_GB2312"/>
          <w:color w:val="000000" w:themeColor="text1"/>
          <w:sz w:val="32"/>
          <w:szCs w:val="32"/>
        </w:rPr>
        <w:t>万元，决算数</w:t>
      </w:r>
      <w:r>
        <w:rPr>
          <w:rFonts w:hint="eastAsia" w:ascii="仿宋_GB2312" w:eastAsia="仿宋_GB2312"/>
          <w:sz w:val="32"/>
          <w:szCs w:val="32"/>
        </w:rPr>
        <w:t>6620.37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，预决算差异率1507.59%，差异主要原因是增加了项目，包括扶贫项目，专项项目以及其他小型项目，导致收入比上年增加。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411.82</w:t>
      </w:r>
      <w:r>
        <w:rPr>
          <w:rFonts w:hint="eastAsia" w:ascii="仿宋_GB2312" w:eastAsia="仿宋_GB2312"/>
          <w:color w:val="000000" w:themeColor="text1"/>
          <w:sz w:val="32"/>
          <w:szCs w:val="32"/>
        </w:rPr>
        <w:t>万元，决算数</w:t>
      </w:r>
      <w:r>
        <w:rPr>
          <w:rFonts w:hint="eastAsia" w:ascii="仿宋_GB2312" w:eastAsia="仿宋_GB2312"/>
          <w:sz w:val="32"/>
          <w:szCs w:val="32"/>
        </w:rPr>
        <w:t>6675.49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，预决算差异率1520.97%，差异主要原因是增加了项目，包括扶贫项目，专项项目以及其他小型项目，导致收入比上年增加。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6,508.09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，与上年相比，增加4970.69万元，增长323.32%，</w:t>
      </w:r>
      <w:r>
        <w:rPr>
          <w:rFonts w:hint="eastAsia" w:ascii="仿宋_GB2312" w:eastAsia="仿宋_GB2312"/>
          <w:sz w:val="32"/>
          <w:szCs w:val="32"/>
        </w:rPr>
        <w:t>增减变化的主要原因是</w:t>
      </w:r>
      <w:r>
        <w:rPr>
          <w:rFonts w:ascii="仿宋_GB2312" w:eastAsia="仿宋_GB2312"/>
          <w:color w:val="000000" w:themeColor="text1"/>
          <w:sz w:val="32"/>
          <w:szCs w:val="32"/>
        </w:rPr>
        <w:t>：增加了项目，包括扶贫项目，专项项目以及其他小型项目，导致收入比上年增加。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6563.21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，与上年相比，增加3480.94万元，增长112.93%，增减变化的主要原因是：增加了项目，包括扶贫项目，专项项目以及其他小型项目。</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住房保障支出15.4万元,农林水支出6523.56万元,社会保障和就业支出24.24万元。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工资福利支出248.91万元,商品和服务支出</w:t>
      </w:r>
      <w:r>
        <w:rPr>
          <w:rFonts w:ascii="仿宋_GB2312" w:eastAsia="仿宋_GB2312"/>
          <w:sz w:val="32"/>
          <w:szCs w:val="32"/>
        </w:rPr>
        <w:t>1,769.94</w:t>
      </w:r>
      <w:r>
        <w:rPr>
          <w:rFonts w:hint="eastAsia" w:ascii="仿宋_GB2312" w:eastAsia="仿宋_GB2312"/>
          <w:sz w:val="32"/>
          <w:szCs w:val="32"/>
        </w:rPr>
        <w:t>万元，对个人和家庭的补助</w:t>
      </w:r>
      <w:r>
        <w:rPr>
          <w:rFonts w:ascii="仿宋_GB2312" w:eastAsia="仿宋_GB2312"/>
          <w:sz w:val="32"/>
          <w:szCs w:val="32"/>
        </w:rPr>
        <w:t>376.94</w:t>
      </w:r>
      <w:r>
        <w:rPr>
          <w:rFonts w:hint="eastAsia" w:ascii="仿宋_GB2312" w:eastAsia="仿宋_GB2312"/>
          <w:sz w:val="32"/>
          <w:szCs w:val="32"/>
        </w:rPr>
        <w:t>万元,资本性支出（基本建设）</w:t>
      </w:r>
      <w:r>
        <w:rPr>
          <w:rFonts w:ascii="仿宋_GB2312" w:eastAsia="仿宋_GB2312"/>
          <w:sz w:val="32"/>
          <w:szCs w:val="32"/>
        </w:rPr>
        <w:t>3,665.5</w:t>
      </w:r>
      <w:r>
        <w:rPr>
          <w:rFonts w:hint="eastAsia" w:ascii="仿宋_GB2312" w:eastAsia="仿宋_GB2312"/>
          <w:sz w:val="32"/>
          <w:szCs w:val="32"/>
        </w:rPr>
        <w:t>1万元，资本性支出</w:t>
      </w:r>
      <w:r>
        <w:rPr>
          <w:rFonts w:ascii="仿宋_GB2312" w:eastAsia="仿宋_GB2312"/>
          <w:sz w:val="32"/>
          <w:szCs w:val="32"/>
        </w:rPr>
        <w:t>501.91</w:t>
      </w:r>
      <w:r>
        <w:rPr>
          <w:rFonts w:hint="eastAsia" w:ascii="仿宋_GB2312" w:eastAsia="仿宋_GB2312"/>
          <w:sz w:val="32"/>
          <w:szCs w:val="32"/>
        </w:rPr>
        <w:t>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411.82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6508.09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，预决算差异率1480.32%，差异主要原因是增加了项目，包括扶贫项目，专项项目以及其他小型项目。</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411.82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6563.21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，预决算差异率1493.71%，差异主要原因是增加了项目，包括扶贫项目，专项项目以及其他小型项目。</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112.28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，与上年相比，增加112.28万元，增长100%，增减变化的主要原因是：项目增加，加大了畜牧业的投入资金。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112.28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，与上年相比，增加112.28万元，增长100%，增减变化的主要原因是：项目增加，加大了畜牧业的投入资金。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，其他支出112.28万元。按经济分类科目（按类级科目公开），商品和服务支出14.8万元,资本性支出97.48万元。</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112.28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，预决算差异率0%，差异主要原因是项目增加，加大了畜牧业的投入资金。</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112.28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，预决算差异率0%，差异主要原因是项目增加原因，加大了畜牧业的投入资金。</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。与上年相比，减少55.12万元，降低100%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。与上年相比，减少55.12万元，降低100%。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，与上年相比减少0万元，降低0%。减少原因是：预算未安排。</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0%，与上年相比减少0万元，降低0%。减少原因是是：预算未安排；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0%，与上年相比减少0万元，降低0%。减少原因是：预算未安排；</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0%，与上年相比减少0万元，降低0%。减少原因是：预算未安排。</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新疆喀什地区英吉沙县畜牧兽医局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预算未安排。</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预算未安排</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预算未安排</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新疆喀什地区英吉沙县畜牧兽医局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，预决算差异率0%，差异主要原因是预算未安排。</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，预决算差异率0%，差异主要原因是预算未安排；</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，预决算差异率0%，差异主要原因是预算未安排；</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，预决算差异率0%，差异主要原因是预算未安排；</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预算未安排。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2018年度新疆喀什地区英吉沙县畜牧兽医局机关运行经费支出10.3万元，与上年相比，减少11.35万元，降低52.42%，主要原因是：按照要求压缩办公经费节约资金。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1762.26</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1751.46</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10.8</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没有其他用车；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英吉沙县畜牧兽医局2018年度部门预算总额为</w:t>
      </w:r>
      <w:r>
        <w:rPr>
          <w:rFonts w:hint="eastAsia" w:ascii="仿宋_GB2312" w:eastAsia="仿宋_GB2312"/>
          <w:sz w:val="32"/>
          <w:szCs w:val="32"/>
        </w:rPr>
        <w:t>7218.41</w:t>
      </w:r>
      <w:r>
        <w:rPr>
          <w:rFonts w:ascii="仿宋_GB2312" w:eastAsia="仿宋_GB2312"/>
          <w:sz w:val="32"/>
          <w:szCs w:val="32"/>
        </w:rPr>
        <w:t>万元，执行金额为</w:t>
      </w:r>
      <w:r>
        <w:rPr>
          <w:rFonts w:hint="eastAsia" w:ascii="仿宋_GB2312" w:eastAsia="仿宋_GB2312"/>
          <w:sz w:val="32"/>
          <w:szCs w:val="32"/>
        </w:rPr>
        <w:t>7218.41</w:t>
      </w:r>
      <w:r>
        <w:rPr>
          <w:rFonts w:ascii="仿宋_GB2312" w:eastAsia="仿宋_GB2312"/>
          <w:sz w:val="32"/>
          <w:szCs w:val="32"/>
        </w:rPr>
        <w:t>万元，预算执行率为100%。本次自评共涉及项目数7个，其中已完成项目7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color w:val="000000"/>
          <w:sz w:val="32"/>
        </w:rPr>
        <w:t>1、2018年畜禽粪污资源化利用工程项目绩效自评综述：根据年初设定的绩效目标，该项目绩效自评得分为91分。项目全年预算数为290万元，执行数为290万元，完成预算的100%。主要产出和效果：1.投资50万元用于英吉沙县色提力乡良种繁育场配套废弃物集中处理设施设备建设项目。 2.投资50万元用于英吉沙县华祥肉羊良种科技发展有限公司标准化规模养殖场生产设施改造项目。 3.投资50万元用于英吉沙县阿克巴格养殖农民专业合作社标准化规模养殖场生产设施改造项目。 4.投资35万元用于龙甫乡托喀依村分户连片养殖小区建设项目。 5.分别投资35万元用于乔勒潘乡阔曲买艾日克村分户连片养殖小区、乔勒潘乡英霍伊拉村分户连片养殖小区和龙甫乡龙甫村分户连片养殖小区采购生产设施设备。发现的问题及原因：无。下一步改进措施： 1.项目实施过程中，利用有限的资金，充分调动县、镇、村三级动物防疫人员工作积极性，使他们能在规定时间内完成工作任务。 2.项目的实施要严格按照项目实施方案进行，保证进度能按时间节点完成，同时每年春秋两防结束，县镇两级组织全面验收。 3.对项目实施过程中出现的关键问题进行重点督查，要求相关人员限时整改。 4.由于绩效自评是一项开展不久的工作任务，相关制度建设还有待进一步加强。 5.现在的项目指标面临着物价、劳务费上涨等因素的影响，建议在编制本项目预算时应该逐年增加预算，我局将尽可能地用有限的经费平衡每年工作任务，尽量做到科学、合理的分配。</w:t>
      </w:r>
    </w:p>
    <w:p>
      <w:pPr>
        <w:spacing w:line="540" w:lineRule="exact"/>
        <w:ind w:left="-1" w:right="-1" w:firstLine="646"/>
        <w:jc w:val="left"/>
      </w:pPr>
      <w:r>
        <w:rPr>
          <w:rFonts w:ascii="仿宋_GB2312" w:hAnsi="仿宋_GB2312" w:eastAsia="仿宋_GB2312" w:cs="仿宋_GB2312"/>
          <w:color w:val="000000"/>
          <w:sz w:val="32"/>
        </w:rPr>
        <w:t>2、英吉沙县2018年农业资源及生态保护补助项目绩效自评综述：根据年初设定的绩效目标，该项目绩效自评得分为94分。项目全年预算数为100.48万元，执行数为100.48万元，完成预算的100%。主要产出和效果：按照“绿水青山就是金山银山”的理念，以草原保护与生态恢复为目标，保护和恢复天然草场生态环境。2018年下达草原生态保护补助奖励补贴资金（草畜平衡100.475万元，主要是在全县实施草畜平衡40.19万亩，每亩草场奖励补助2.5元。发现的问题及原因：无。下一步改进措施： 1.项目实施过程中，坚持公开、公平、公正、透明的原则，利用有限的资金，充分调动县、乡、村三级专业技术人员工作积极性，使他们能在规定时间内完成工作任务。 2.项目的实施要严格按照项目实施方案进行，保证进度能按时间节点完成，同时项目实施完毕后，县镇两级组织全面验收。 3.对项目实施过程中出现的关键问题进行重点督查，要求相关人员限时整改。 4.由于绩效自评是一项开展不久的工作任务，相关制度建设还有待进一步加强。</w:t>
      </w:r>
    </w:p>
    <w:p>
      <w:pPr>
        <w:spacing w:line="540" w:lineRule="exact"/>
        <w:ind w:left="-1" w:right="-1" w:firstLine="646"/>
        <w:jc w:val="left"/>
      </w:pPr>
      <w:r>
        <w:rPr>
          <w:rFonts w:ascii="仿宋_GB2312" w:hAnsi="仿宋_GB2312" w:eastAsia="仿宋_GB2312" w:cs="仿宋_GB2312"/>
          <w:color w:val="000000"/>
          <w:sz w:val="32"/>
        </w:rPr>
        <w:t>3、英吉沙县2018年退耕还林还草补助项目绩效自评综述：根据年初设定的绩效目标，该项目绩效自评得分为</w:t>
      </w:r>
      <w:r>
        <w:rPr>
          <w:rFonts w:hint="eastAsia" w:ascii="仿宋_GB2312" w:hAnsi="仿宋_GB2312" w:eastAsia="仿宋_GB2312" w:cs="仿宋_GB2312"/>
          <w:color w:val="000000"/>
          <w:sz w:val="32"/>
          <w:lang w:val="en-US" w:eastAsia="zh-CN"/>
        </w:rPr>
        <w:t>89</w:t>
      </w:r>
      <w:r>
        <w:rPr>
          <w:rFonts w:ascii="仿宋_GB2312" w:hAnsi="仿宋_GB2312" w:eastAsia="仿宋_GB2312" w:cs="仿宋_GB2312"/>
          <w:color w:val="000000"/>
          <w:sz w:val="32"/>
        </w:rPr>
        <w:t>分。项目全年预算数为105.18万元，执行数为105.18万元，完成预算的100%。主要产出和效果：通过分步有序的使全县符合条件的应退可退愿退的严重沙化耕地、难以改造的低产田等实现退耕还林还草。2018年下达补助资金105.18万元，实现退耕还草1753亩。发现的问题及原因：1.项目实施过程中，坚持公开、公平、公正、透明的原则，利用有限的资金，充分调动县、乡、村三级专业技术人员工作积极性，使他们能在规定时间内完成工作任务。 2.项目的实施要严格按照项目实施方案进行，保证进度能按时间节点完成，同时项目实施完毕后，县镇两级组织全面验收。 3.对项目实施过程中出现的关键问题进行重点督查，要求相关人员限时整改。 4.由于绩效自评是一项开展不久的工作任务，相关制度建设还有待进一步加强。下一步改进措施： 项目实施进一步缓解了天然草场过牧超载现象，可减少土地沙化面积，对低产田进行有效利用，可保护和恢复天然草场生态环境。</w:t>
      </w:r>
    </w:p>
    <w:p>
      <w:pPr>
        <w:spacing w:line="540" w:lineRule="exact"/>
        <w:ind w:left="-1" w:right="-1" w:firstLine="646"/>
        <w:jc w:val="left"/>
      </w:pPr>
      <w:r>
        <w:rPr>
          <w:rFonts w:ascii="仿宋_GB2312" w:hAnsi="仿宋_GB2312" w:eastAsia="仿宋_GB2312" w:cs="仿宋_GB2312"/>
          <w:color w:val="000000"/>
          <w:sz w:val="32"/>
        </w:rPr>
        <w:t>4、托普鲁克乡克什拉克村、克力皮群村草场建设，艾古斯乡托格日艾日克村草场建设，托普鲁克乡饲草料基地建设项目绩效自评综述：根据年初设定的绩效目标，该项目绩效自评得分为8</w:t>
      </w:r>
      <w:r>
        <w:rPr>
          <w:rFonts w:hint="eastAsia" w:ascii="仿宋_GB2312" w:hAnsi="仿宋_GB2312" w:eastAsia="仿宋_GB2312" w:cs="仿宋_GB2312"/>
          <w:color w:val="000000"/>
          <w:sz w:val="32"/>
          <w:lang w:val="en-US" w:eastAsia="zh-CN"/>
        </w:rPr>
        <w:t>5</w:t>
      </w:r>
      <w:r>
        <w:rPr>
          <w:rFonts w:ascii="仿宋_GB2312" w:hAnsi="仿宋_GB2312" w:eastAsia="仿宋_GB2312" w:cs="仿宋_GB2312"/>
          <w:color w:val="000000"/>
          <w:sz w:val="32"/>
        </w:rPr>
        <w:t>分。项目全年预算数为1688.76万元，执行数为1688.76万元，完成预算的100%。主要产出和效果：按照生产生态有机结合、生态优先方针，树立“绿水青山就是金山银山”的理念，以草原改良增效为目标，保护和恢复草场生态环境。2018年利用以工代赈资金1688.76万元，对5850亩草原进行改良增效。发现的问题及原因：无。下一步改进措施： 无。</w:t>
      </w:r>
    </w:p>
    <w:p>
      <w:pPr>
        <w:spacing w:line="540" w:lineRule="exact"/>
        <w:ind w:left="-1" w:right="-1" w:firstLine="646"/>
        <w:jc w:val="left"/>
      </w:pPr>
      <w:r>
        <w:rPr>
          <w:rFonts w:ascii="仿宋_GB2312" w:hAnsi="仿宋_GB2312" w:eastAsia="仿宋_GB2312" w:cs="仿宋_GB2312"/>
          <w:color w:val="000000"/>
          <w:sz w:val="32"/>
        </w:rPr>
        <w:t>5、色提力乡、萨罕乡两个良种繁育中心（扩繁场），良种繁育中心购羊，良种繁育中心设备购置项目绩效自评综述：根据年初设定的绩效目标，该项目绩效自评得分为9</w:t>
      </w:r>
      <w:r>
        <w:rPr>
          <w:rFonts w:hint="eastAsia" w:ascii="仿宋_GB2312" w:hAnsi="仿宋_GB2312" w:eastAsia="仿宋_GB2312" w:cs="仿宋_GB2312"/>
          <w:color w:val="000000"/>
          <w:sz w:val="32"/>
          <w:lang w:val="en-US" w:eastAsia="zh-CN"/>
        </w:rPr>
        <w:t>4</w:t>
      </w:r>
      <w:r>
        <w:rPr>
          <w:rFonts w:ascii="仿宋_GB2312" w:hAnsi="仿宋_GB2312" w:eastAsia="仿宋_GB2312" w:cs="仿宋_GB2312"/>
          <w:color w:val="000000"/>
          <w:sz w:val="32"/>
        </w:rPr>
        <w:t>分。项目全年预算数为4634万元，执行数为4634万元，完成预算的100%。主要产出和效果：2018年良种繁育场建设项目下达投资预算4634万元，资金由扶贫发展资金1050万元、涉农整合资金3034万元、以工代赈资金400万元，少数民族发展资金150万元构成，全部用于良种繁育场基础建设、设备采购及种羊采购等。发现的问题及原因：由于绩效自评是一项开展不久的工作任务，相关制度建设还有待进一步加强。下一步改进措施： 做好项目投产管理及监督，使其发挥真正助力脱贫攻坚的作用。</w:t>
      </w:r>
    </w:p>
    <w:p>
      <w:pPr>
        <w:spacing w:line="540" w:lineRule="exact"/>
        <w:ind w:left="-1" w:right="-1" w:firstLine="646"/>
        <w:jc w:val="left"/>
      </w:pPr>
      <w:r>
        <w:rPr>
          <w:rFonts w:ascii="仿宋_GB2312" w:hAnsi="仿宋_GB2312" w:eastAsia="仿宋_GB2312" w:cs="仿宋_GB2312"/>
          <w:color w:val="000000"/>
          <w:sz w:val="32"/>
        </w:rPr>
        <w:t>6、英吉沙县畜牧局2018年</w:t>
      </w:r>
      <w:r>
        <w:rPr>
          <w:rFonts w:hint="eastAsia" w:ascii="仿宋_GB2312" w:hAnsi="仿宋_GB2312" w:eastAsia="仿宋_GB2312" w:cs="仿宋_GB2312"/>
          <w:color w:val="000000"/>
          <w:sz w:val="32"/>
        </w:rPr>
        <w:t>工作组</w:t>
      </w:r>
      <w:r>
        <w:rPr>
          <w:rFonts w:ascii="仿宋_GB2312" w:hAnsi="仿宋_GB2312" w:eastAsia="仿宋_GB2312" w:cs="仿宋_GB2312"/>
          <w:color w:val="000000"/>
          <w:sz w:val="32"/>
        </w:rPr>
        <w:t>棚圈建设项目绩效自评综述：根据年初设定的绩效目标，该项目绩效自评得分为83分。项目全年预算数为100万元，执行数为100万元，完成预算的100%。主要产出和效果：2018年“</w:t>
      </w:r>
      <w:r>
        <w:rPr>
          <w:rFonts w:hint="eastAsia" w:ascii="仿宋_GB2312" w:hAnsi="仿宋_GB2312" w:eastAsia="仿宋_GB2312" w:cs="仿宋_GB2312"/>
          <w:color w:val="000000"/>
          <w:sz w:val="32"/>
        </w:rPr>
        <w:t>工作组</w:t>
      </w:r>
      <w:r>
        <w:rPr>
          <w:rFonts w:ascii="仿宋_GB2312" w:hAnsi="仿宋_GB2312" w:eastAsia="仿宋_GB2312" w:cs="仿宋_GB2312"/>
          <w:color w:val="000000"/>
          <w:sz w:val="32"/>
        </w:rPr>
        <w:t>”村级惠民生项目资金100万元，分别投资50万元用于龙甫乡3村惠民生养殖小区建设项目和萨罕乡15村惠民生养殖小区建设项目。发现的问题及原因：无。下一步改进措施： 无。</w:t>
      </w:r>
    </w:p>
    <w:p>
      <w:pPr>
        <w:spacing w:line="540" w:lineRule="exact"/>
        <w:ind w:left="-1" w:right="-1" w:firstLine="646"/>
        <w:jc w:val="left"/>
      </w:pPr>
      <w:r>
        <w:rPr>
          <w:rFonts w:ascii="仿宋_GB2312" w:hAnsi="仿宋_GB2312" w:eastAsia="仿宋_GB2312" w:cs="仿宋_GB2312"/>
          <w:color w:val="000000"/>
          <w:sz w:val="32"/>
        </w:rPr>
        <w:t>7、英吉沙县色提力乡4村养殖小区建设项目绩效自评综述：根据年初设定的绩效目标，该项目绩效自评得分为8</w:t>
      </w:r>
      <w:r>
        <w:rPr>
          <w:rFonts w:hint="eastAsia" w:ascii="仿宋_GB2312" w:hAnsi="仿宋_GB2312" w:eastAsia="仿宋_GB2312" w:cs="仿宋_GB2312"/>
          <w:color w:val="000000"/>
          <w:sz w:val="32"/>
          <w:lang w:val="en-US" w:eastAsia="zh-CN"/>
        </w:rPr>
        <w:t>3</w:t>
      </w:r>
      <w:r>
        <w:rPr>
          <w:rFonts w:ascii="仿宋_GB2312" w:hAnsi="仿宋_GB2312" w:eastAsia="仿宋_GB2312" w:cs="仿宋_GB2312"/>
          <w:color w:val="000000"/>
          <w:sz w:val="32"/>
        </w:rPr>
        <w:t>分。项目全年预算数为300万元，执行数为300万元，完成预算的100%。主要产出和效果：项目以规模化、集约化为主的养殖小区建设，</w:t>
      </w:r>
      <w:bookmarkStart w:id="92" w:name="_GoBack"/>
      <w:bookmarkEnd w:id="92"/>
      <w:r>
        <w:rPr>
          <w:rFonts w:ascii="仿宋_GB2312" w:hAnsi="仿宋_GB2312" w:eastAsia="仿宋_GB2312" w:cs="仿宋_GB2312"/>
          <w:color w:val="000000"/>
          <w:sz w:val="32"/>
        </w:rPr>
        <w:t>发展县域内肉羊养殖产业，助力脱贫攻坚。对建设规模养殖小区起到很好的示范带动作用。养殖小区建成投产后通过利用科学饲喂、管理，预计年纯收入可达36万元，对提高该村贫困户脱贫奠定坚实基础。发现的问题及原因：养殖经验尚不成熟，还在摸索中前进。下一步改进措施： 对已过隔离期的商品羊引入圈舍进行饲养，实现投产，由于绩效自评是一项开展不久的工作任务，相关制度建设还有待进一步加强。</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01（款）06（项）指：科技转化与推广服务。213（类）01（款）04（项）指：事业运行。229（类）60（款）02（项）指：用于社会福利的彩票公益金支出。213（类）05（款）05（项）指：生产发展。221（类）02（款）01（项）指：住房公积金。213（类）01（款）08（项）指：病虫害控制。213（类）05（款）04（项）指：农村基础设施建设。213（类）01（款）01（项）指：行政运行。213（类）01（款）35（项）指：农业资源保护修复与利用。208（类）05（款）05（项）指：机关事业单位基本养老保险缴费支出。213（类）01（款）99（项）指：其他农业支出。229（类）60（款）06（项）指：用于残疾人事业的彩票公益金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3520" w:firstLineChars="1100"/>
        <w:jc w:val="center"/>
        <w:rPr>
          <w:rFonts w:ascii="仿宋_GB2312" w:eastAsia="仿宋_GB2312"/>
          <w:sz w:val="32"/>
          <w:szCs w:val="32"/>
        </w:rPr>
      </w:pPr>
      <w:r>
        <w:rPr>
          <w:rFonts w:ascii="仿宋_GB2312" w:eastAsia="仿宋_GB2312"/>
          <w:sz w:val="32"/>
          <w:szCs w:val="32"/>
        </w:rPr>
        <w:t>英吉沙县畜牧兽医局</w:t>
      </w:r>
    </w:p>
    <w:p>
      <w:pPr>
        <w:spacing w:line="540" w:lineRule="exact"/>
        <w:ind w:firstLine="3520" w:firstLineChars="1100"/>
        <w:jc w:val="center"/>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- 5 -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18</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55ACA"/>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152D"/>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BF5C96"/>
    <w:rsid w:val="00C04782"/>
    <w:rsid w:val="00C04F2D"/>
    <w:rsid w:val="00C238F0"/>
    <w:rsid w:val="00C25CC6"/>
    <w:rsid w:val="00C31297"/>
    <w:rsid w:val="00C61A9B"/>
    <w:rsid w:val="00C71036"/>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992C4F"/>
    <w:rsid w:val="06B856EE"/>
    <w:rsid w:val="07FE5938"/>
    <w:rsid w:val="084604BC"/>
    <w:rsid w:val="08883825"/>
    <w:rsid w:val="09725983"/>
    <w:rsid w:val="09CB7651"/>
    <w:rsid w:val="0A382BB5"/>
    <w:rsid w:val="0AA4543A"/>
    <w:rsid w:val="0BE61132"/>
    <w:rsid w:val="0C9B0DD6"/>
    <w:rsid w:val="0CE4791C"/>
    <w:rsid w:val="0E063C64"/>
    <w:rsid w:val="0F4C7B96"/>
    <w:rsid w:val="0FFB575E"/>
    <w:rsid w:val="103053CF"/>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717C38"/>
    <w:rsid w:val="2CC61F55"/>
    <w:rsid w:val="2EF7452F"/>
    <w:rsid w:val="2F1D13B4"/>
    <w:rsid w:val="2FAA3DA6"/>
    <w:rsid w:val="30682E1F"/>
    <w:rsid w:val="30E210D2"/>
    <w:rsid w:val="311371D6"/>
    <w:rsid w:val="31EB64C9"/>
    <w:rsid w:val="336D0D6F"/>
    <w:rsid w:val="352E4BEC"/>
    <w:rsid w:val="37DD5594"/>
    <w:rsid w:val="38F24FA8"/>
    <w:rsid w:val="3A935D08"/>
    <w:rsid w:val="3A98342A"/>
    <w:rsid w:val="3AB6780E"/>
    <w:rsid w:val="3AD56D70"/>
    <w:rsid w:val="3B2920C2"/>
    <w:rsid w:val="3BE41ABD"/>
    <w:rsid w:val="3C5421A9"/>
    <w:rsid w:val="3D903B21"/>
    <w:rsid w:val="3F440741"/>
    <w:rsid w:val="41486AF3"/>
    <w:rsid w:val="41FC306C"/>
    <w:rsid w:val="44BE5554"/>
    <w:rsid w:val="451E0908"/>
    <w:rsid w:val="452C2D31"/>
    <w:rsid w:val="45D26E14"/>
    <w:rsid w:val="46A541B1"/>
    <w:rsid w:val="48C57772"/>
    <w:rsid w:val="49782886"/>
    <w:rsid w:val="4A0A5AFD"/>
    <w:rsid w:val="4A6F0D28"/>
    <w:rsid w:val="4AAF085C"/>
    <w:rsid w:val="4AEB7E60"/>
    <w:rsid w:val="4B4B135B"/>
    <w:rsid w:val="4BC7055F"/>
    <w:rsid w:val="4C0C5C8B"/>
    <w:rsid w:val="4CFC7DB2"/>
    <w:rsid w:val="4E7C187D"/>
    <w:rsid w:val="508941AD"/>
    <w:rsid w:val="50E65530"/>
    <w:rsid w:val="51457139"/>
    <w:rsid w:val="51574DBD"/>
    <w:rsid w:val="51D87650"/>
    <w:rsid w:val="51EC1DA8"/>
    <w:rsid w:val="52FC5524"/>
    <w:rsid w:val="532D7A17"/>
    <w:rsid w:val="544E1F5C"/>
    <w:rsid w:val="54AF4562"/>
    <w:rsid w:val="54C9674B"/>
    <w:rsid w:val="556318EA"/>
    <w:rsid w:val="55A60AA1"/>
    <w:rsid w:val="56451615"/>
    <w:rsid w:val="57FC5774"/>
    <w:rsid w:val="59B332C9"/>
    <w:rsid w:val="5A44758A"/>
    <w:rsid w:val="5BEC4BB3"/>
    <w:rsid w:val="5C070B55"/>
    <w:rsid w:val="5CA26034"/>
    <w:rsid w:val="5CB96DCE"/>
    <w:rsid w:val="5CE61580"/>
    <w:rsid w:val="5D175666"/>
    <w:rsid w:val="5D556A3C"/>
    <w:rsid w:val="5D7B25C9"/>
    <w:rsid w:val="5ECB44B4"/>
    <w:rsid w:val="5EE2043C"/>
    <w:rsid w:val="602D2E37"/>
    <w:rsid w:val="61460FBE"/>
    <w:rsid w:val="62775810"/>
    <w:rsid w:val="62D83744"/>
    <w:rsid w:val="630F4048"/>
    <w:rsid w:val="63AA02E5"/>
    <w:rsid w:val="64700DE9"/>
    <w:rsid w:val="653B1082"/>
    <w:rsid w:val="65C613BD"/>
    <w:rsid w:val="65E306FA"/>
    <w:rsid w:val="65FD118C"/>
    <w:rsid w:val="682C3D89"/>
    <w:rsid w:val="68611305"/>
    <w:rsid w:val="6A162DE0"/>
    <w:rsid w:val="6A331428"/>
    <w:rsid w:val="6B2E5CB6"/>
    <w:rsid w:val="6B3D4886"/>
    <w:rsid w:val="6DF8675E"/>
    <w:rsid w:val="6EA80098"/>
    <w:rsid w:val="6F737B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1318</Words>
  <Characters>7515</Characters>
  <Lines>62</Lines>
  <Paragraphs>17</Paragraphs>
  <TotalTime>170</TotalTime>
  <ScaleCrop>false</ScaleCrop>
  <LinksUpToDate>false</LinksUpToDate>
  <CharactersWithSpaces>8816</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辰</cp:lastModifiedBy>
  <dcterms:modified xsi:type="dcterms:W3CDTF">2021-07-13T13:23:53Z</dcterms:modified>
  <cp:revision>813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82835E2D1CF8444C89DDE9D61909F311</vt:lpwstr>
  </property>
</Properties>
</file>